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28"/>
        </w:rPr>
      </w:pPr>
      <w:r>
        <w:rPr>
          <w:rFonts w:hint="eastAsia"/>
          <w:sz w:val="36"/>
          <w:szCs w:val="28"/>
        </w:rPr>
        <w:t>2019年中西部高等学校青年骨干教师国内访问学者申请指南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ascii="微软雅黑" w:hAnsi="微软雅黑" w:eastAsia="微软雅黑" w:cs="微软雅黑"/>
          <w:i w:val="0"/>
          <w:caps w:val="0"/>
          <w:color w:val="333333"/>
          <w:spacing w:val="0"/>
          <w:sz w:val="28"/>
          <w:szCs w:val="28"/>
        </w:rPr>
      </w:pPr>
      <w:r>
        <w:rPr>
          <w:rFonts w:ascii="仿宋_GB2312" w:hAnsi="仿宋_GB2312" w:eastAsia="仿宋_GB2312" w:cs="仿宋_GB2312"/>
          <w:i w:val="0"/>
          <w:caps w:val="0"/>
          <w:color w:val="333333"/>
          <w:spacing w:val="0"/>
          <w:sz w:val="28"/>
          <w:szCs w:val="28"/>
          <w:bdr w:val="none" w:color="auto" w:sz="0" w:space="0"/>
          <w:shd w:val="clear" w:fill="FFFFFF"/>
        </w:rPr>
        <w:t>根据《高等学校青年骨干教师国内访问学者项目实施办法》（教人厅</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[2004]8</w:t>
      </w:r>
      <w:r>
        <w:rPr>
          <w:rFonts w:hint="eastAsia" w:ascii="仿宋_GB2312" w:hAnsi="仿宋_GB2312" w:eastAsia="仿宋_GB2312" w:cs="仿宋_GB2312"/>
          <w:i w:val="0"/>
          <w:caps w:val="0"/>
          <w:color w:val="333333"/>
          <w:spacing w:val="0"/>
          <w:sz w:val="28"/>
          <w:szCs w:val="28"/>
          <w:bdr w:val="none" w:color="auto" w:sz="0" w:space="0"/>
          <w:shd w:val="clear" w:fill="FFFFFF"/>
        </w:rPr>
        <w:t>号）和《教育部教师工作司关于做好</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年中西部高等学校青年骨干教师国内访问学者选派工作的通知》（教师司函</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[2019]10</w:t>
      </w:r>
      <w:r>
        <w:rPr>
          <w:rFonts w:hint="eastAsia" w:ascii="仿宋_GB2312" w:hAnsi="仿宋_GB2312" w:eastAsia="仿宋_GB2312" w:cs="仿宋_GB2312"/>
          <w:i w:val="0"/>
          <w:caps w:val="0"/>
          <w:color w:val="333333"/>
          <w:spacing w:val="0"/>
          <w:sz w:val="28"/>
          <w:szCs w:val="28"/>
          <w:bdr w:val="none" w:color="auto" w:sz="0" w:space="0"/>
          <w:shd w:val="clear" w:fill="FFFFFF"/>
        </w:rPr>
        <w:t>号），</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年教育部计划资助</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1000</w:t>
      </w:r>
      <w:r>
        <w:rPr>
          <w:rFonts w:hint="eastAsia" w:ascii="仿宋_GB2312" w:hAnsi="仿宋_GB2312" w:eastAsia="仿宋_GB2312" w:cs="仿宋_GB2312"/>
          <w:i w:val="0"/>
          <w:caps w:val="0"/>
          <w:color w:val="333333"/>
          <w:spacing w:val="0"/>
          <w:sz w:val="28"/>
          <w:szCs w:val="28"/>
          <w:bdr w:val="none" w:color="auto" w:sz="0" w:space="0"/>
          <w:shd w:val="clear" w:fill="FFFFFF"/>
        </w:rPr>
        <w:t>名中西部地方高校及国家民委直属高校青年骨干教师参加国家级培训项目，其中师范类专业“学科教学论”教师不少于</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100</w:t>
      </w:r>
      <w:r>
        <w:rPr>
          <w:rFonts w:hint="eastAsia" w:ascii="仿宋_GB2312" w:hAnsi="仿宋_GB2312" w:eastAsia="仿宋_GB2312" w:cs="仿宋_GB2312"/>
          <w:i w:val="0"/>
          <w:caps w:val="0"/>
          <w:color w:val="333333"/>
          <w:spacing w:val="0"/>
          <w:sz w:val="28"/>
          <w:szCs w:val="28"/>
          <w:bdr w:val="none" w:color="auto" w:sz="0" w:space="0"/>
          <w:shd w:val="clear" w:fill="FFFFFF"/>
        </w:rPr>
        <w:t>名。为做好申请和录取工作，现将</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年中西部高等学校青年骨干教师国内访问学者申请指南公布如下。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ascii="黑体" w:hAnsi="宋体" w:eastAsia="黑体" w:cs="黑体"/>
          <w:i w:val="0"/>
          <w:caps w:val="0"/>
          <w:color w:val="333333"/>
          <w:spacing w:val="0"/>
          <w:sz w:val="28"/>
          <w:szCs w:val="28"/>
          <w:bdr w:val="none" w:color="auto" w:sz="0" w:space="0"/>
          <w:shd w:val="clear" w:fill="FFFFFF"/>
        </w:rPr>
        <w:t>一、申请资格的获得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中西部高等学校青年骨干教师国内访问学者申请人，首先必须获得省级教育行政部门的推荐指标。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参加中西部高等学校青年骨干教师国内访问学者项目的省</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w:t>
      </w:r>
      <w:r>
        <w:rPr>
          <w:rFonts w:hint="eastAsia" w:ascii="仿宋_GB2312" w:hAnsi="仿宋_GB2312" w:eastAsia="仿宋_GB2312" w:cs="仿宋_GB2312"/>
          <w:i w:val="0"/>
          <w:caps w:val="0"/>
          <w:color w:val="333333"/>
          <w:spacing w:val="0"/>
          <w:sz w:val="28"/>
          <w:szCs w:val="28"/>
          <w:bdr w:val="none" w:color="auto" w:sz="0" w:space="0"/>
          <w:shd w:val="clear" w:fill="FFFFFF"/>
        </w:rPr>
        <w:t>自治区</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w:t>
      </w:r>
      <w:r>
        <w:rPr>
          <w:rFonts w:hint="eastAsia" w:ascii="仿宋_GB2312" w:hAnsi="仿宋_GB2312" w:eastAsia="仿宋_GB2312" w:cs="仿宋_GB2312"/>
          <w:i w:val="0"/>
          <w:caps w:val="0"/>
          <w:color w:val="333333"/>
          <w:spacing w:val="0"/>
          <w:sz w:val="28"/>
          <w:szCs w:val="28"/>
          <w:bdr w:val="none" w:color="auto" w:sz="0" w:space="0"/>
          <w:shd w:val="clear" w:fill="FFFFFF"/>
        </w:rPr>
        <w:t>直辖市见下表：</w:t>
      </w:r>
    </w:p>
    <w:tbl>
      <w:tblPr>
        <w:tblW w:w="9529" w:type="dxa"/>
        <w:jc w:val="center"/>
        <w:tblInd w:w="-2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13"/>
        <w:gridCol w:w="1172"/>
        <w:gridCol w:w="1416"/>
        <w:gridCol w:w="1667"/>
        <w:gridCol w:w="2017"/>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29" w:hRule="atLeast"/>
          <w:jc w:val="center"/>
        </w:trPr>
        <w:tc>
          <w:tcPr>
            <w:tcW w:w="1613" w:type="dxa"/>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河北</w:t>
            </w:r>
          </w:p>
        </w:tc>
        <w:tc>
          <w:tcPr>
            <w:tcW w:w="1172"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山西</w:t>
            </w:r>
          </w:p>
        </w:tc>
        <w:tc>
          <w:tcPr>
            <w:tcW w:w="1416"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内蒙古</w:t>
            </w:r>
          </w:p>
        </w:tc>
        <w:tc>
          <w:tcPr>
            <w:tcW w:w="1667"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吉林</w:t>
            </w:r>
          </w:p>
        </w:tc>
        <w:tc>
          <w:tcPr>
            <w:tcW w:w="2017"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黑龙江</w:t>
            </w:r>
          </w:p>
        </w:tc>
        <w:tc>
          <w:tcPr>
            <w:tcW w:w="1644"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安徽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atLeast"/>
          <w:jc w:val="center"/>
        </w:trPr>
        <w:tc>
          <w:tcPr>
            <w:tcW w:w="1613"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江西</w:t>
            </w:r>
          </w:p>
        </w:tc>
        <w:tc>
          <w:tcPr>
            <w:tcW w:w="1172"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河南</w:t>
            </w:r>
          </w:p>
        </w:tc>
        <w:tc>
          <w:tcPr>
            <w:tcW w:w="1416"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湖北</w:t>
            </w:r>
          </w:p>
        </w:tc>
        <w:tc>
          <w:tcPr>
            <w:tcW w:w="1667"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湖南</w:t>
            </w:r>
          </w:p>
        </w:tc>
        <w:tc>
          <w:tcPr>
            <w:tcW w:w="2017"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广西</w:t>
            </w:r>
          </w:p>
        </w:tc>
        <w:tc>
          <w:tcPr>
            <w:tcW w:w="1644"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海南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atLeast"/>
          <w:jc w:val="center"/>
        </w:trPr>
        <w:tc>
          <w:tcPr>
            <w:tcW w:w="1613"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重庆</w:t>
            </w:r>
          </w:p>
        </w:tc>
        <w:tc>
          <w:tcPr>
            <w:tcW w:w="1172"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四川</w:t>
            </w:r>
          </w:p>
        </w:tc>
        <w:tc>
          <w:tcPr>
            <w:tcW w:w="1416"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贵州</w:t>
            </w:r>
          </w:p>
        </w:tc>
        <w:tc>
          <w:tcPr>
            <w:tcW w:w="1667"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云南</w:t>
            </w:r>
          </w:p>
        </w:tc>
        <w:tc>
          <w:tcPr>
            <w:tcW w:w="2017"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西藏</w:t>
            </w:r>
          </w:p>
        </w:tc>
        <w:tc>
          <w:tcPr>
            <w:tcW w:w="1644"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color w:val="333333"/>
                <w:sz w:val="22"/>
                <w:szCs w:val="22"/>
              </w:rPr>
            </w:pPr>
            <w:r>
              <w:rPr>
                <w:rFonts w:hint="eastAsia" w:ascii="仿宋_GB2312" w:hAnsi="仿宋_GB2312" w:eastAsia="仿宋_GB2312" w:cs="仿宋_GB2312"/>
                <w:color w:val="333333"/>
                <w:sz w:val="22"/>
                <w:szCs w:val="22"/>
                <w:bdr w:val="none" w:color="auto" w:sz="0" w:space="0"/>
              </w:rPr>
              <w:t>陕西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0" w:hRule="atLeast"/>
          <w:jc w:val="center"/>
        </w:trPr>
        <w:tc>
          <w:tcPr>
            <w:tcW w:w="1613"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rFonts w:hint="eastAsia" w:ascii="仿宋_GB2312" w:hAnsi="仿宋_GB2312" w:eastAsia="仿宋_GB2312" w:cs="仿宋_GB2312"/>
                <w:color w:val="333333"/>
                <w:sz w:val="22"/>
                <w:szCs w:val="22"/>
              </w:rPr>
            </w:pPr>
            <w:r>
              <w:rPr>
                <w:rFonts w:hint="eastAsia" w:ascii="仿宋_GB2312" w:hAnsi="仿宋_GB2312" w:eastAsia="仿宋_GB2312" w:cs="仿宋_GB2312"/>
                <w:color w:val="333333"/>
                <w:sz w:val="22"/>
                <w:szCs w:val="22"/>
              </w:rPr>
              <w:t>甘肃</w:t>
            </w:r>
          </w:p>
        </w:tc>
        <w:tc>
          <w:tcPr>
            <w:tcW w:w="1172"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rFonts w:hint="eastAsia" w:ascii="仿宋_GB2312" w:hAnsi="仿宋_GB2312" w:eastAsia="仿宋_GB2312" w:cs="仿宋_GB2312"/>
                <w:color w:val="333333"/>
                <w:sz w:val="22"/>
                <w:szCs w:val="22"/>
              </w:rPr>
            </w:pPr>
            <w:r>
              <w:rPr>
                <w:rFonts w:hint="eastAsia" w:ascii="仿宋_GB2312" w:hAnsi="仿宋_GB2312" w:eastAsia="仿宋_GB2312" w:cs="仿宋_GB2312"/>
                <w:color w:val="333333"/>
                <w:sz w:val="22"/>
                <w:szCs w:val="22"/>
              </w:rPr>
              <w:t>青海</w:t>
            </w:r>
          </w:p>
        </w:tc>
        <w:tc>
          <w:tcPr>
            <w:tcW w:w="1416"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rFonts w:hint="eastAsia" w:ascii="仿宋_GB2312" w:hAnsi="仿宋_GB2312" w:eastAsia="仿宋_GB2312" w:cs="仿宋_GB2312"/>
                <w:color w:val="333333"/>
                <w:sz w:val="22"/>
                <w:szCs w:val="22"/>
              </w:rPr>
            </w:pPr>
            <w:r>
              <w:rPr>
                <w:rFonts w:hint="eastAsia" w:ascii="仿宋_GB2312" w:hAnsi="仿宋_GB2312" w:eastAsia="仿宋_GB2312" w:cs="仿宋_GB2312"/>
                <w:color w:val="333333"/>
                <w:sz w:val="22"/>
                <w:szCs w:val="22"/>
              </w:rPr>
              <w:t>宁夏</w:t>
            </w:r>
          </w:p>
        </w:tc>
        <w:tc>
          <w:tcPr>
            <w:tcW w:w="1667"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left"/>
              <w:rPr>
                <w:rFonts w:hint="eastAsia" w:ascii="仿宋_GB2312" w:hAnsi="仿宋_GB2312" w:eastAsia="仿宋_GB2312" w:cs="仿宋_GB2312"/>
                <w:color w:val="333333"/>
                <w:sz w:val="22"/>
                <w:szCs w:val="22"/>
              </w:rPr>
            </w:pPr>
            <w:r>
              <w:rPr>
                <w:rFonts w:hint="eastAsia" w:ascii="仿宋_GB2312" w:hAnsi="仿宋_GB2312" w:eastAsia="仿宋_GB2312" w:cs="仿宋_GB2312"/>
                <w:color w:val="333333"/>
                <w:sz w:val="22"/>
                <w:szCs w:val="22"/>
              </w:rPr>
              <w:t>新疆</w:t>
            </w:r>
          </w:p>
        </w:tc>
        <w:tc>
          <w:tcPr>
            <w:tcW w:w="2017"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center"/>
              <w:rPr>
                <w:rFonts w:hint="eastAsia" w:ascii="仿宋_GB2312" w:hAnsi="仿宋_GB2312" w:eastAsia="仿宋_GB2312" w:cs="仿宋_GB2312"/>
                <w:color w:val="333333"/>
                <w:sz w:val="22"/>
                <w:szCs w:val="22"/>
              </w:rPr>
            </w:pPr>
            <w:r>
              <w:rPr>
                <w:rFonts w:hint="eastAsia" w:ascii="仿宋_GB2312" w:hAnsi="仿宋_GB2312" w:eastAsia="仿宋_GB2312" w:cs="仿宋_GB2312"/>
                <w:color w:val="333333"/>
                <w:sz w:val="22"/>
                <w:szCs w:val="22"/>
              </w:rPr>
              <w:t>新疆生产建设兵团</w:t>
            </w:r>
          </w:p>
        </w:tc>
        <w:tc>
          <w:tcPr>
            <w:tcW w:w="1644"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55" w:lineRule="atLeast"/>
              <w:ind w:left="0" w:right="0" w:firstLine="420"/>
              <w:jc w:val="center"/>
              <w:rPr>
                <w:rFonts w:hint="eastAsia" w:ascii="仿宋_GB2312" w:hAnsi="仿宋_GB2312" w:eastAsia="仿宋_GB2312" w:cs="仿宋_GB2312"/>
                <w:color w:val="333333"/>
                <w:sz w:val="22"/>
                <w:szCs w:val="22"/>
              </w:rPr>
            </w:pPr>
            <w:r>
              <w:rPr>
                <w:rFonts w:hint="eastAsia" w:ascii="仿宋_GB2312" w:hAnsi="仿宋_GB2312" w:eastAsia="仿宋_GB2312" w:cs="仿宋_GB2312"/>
                <w:color w:val="333333"/>
                <w:sz w:val="22"/>
                <w:szCs w:val="22"/>
              </w:rPr>
              <w:t>（中央民委直属高校）</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没有获得推荐指标的教师可申请一般国内访问学者。一般国内访问学者不享受教育部资助。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rPr>
          <w:rFonts w:hint="eastAsia" w:ascii="微软雅黑" w:hAnsi="微软雅黑" w:eastAsia="微软雅黑" w:cs="微软雅黑"/>
          <w:i w:val="0"/>
          <w:caps w:val="0"/>
          <w:color w:val="333333"/>
          <w:spacing w:val="0"/>
          <w:sz w:val="28"/>
          <w:szCs w:val="28"/>
        </w:rPr>
      </w:pPr>
      <w:r>
        <w:rPr>
          <w:rFonts w:hint="eastAsia" w:ascii="黑体" w:hAnsi="宋体" w:eastAsia="黑体" w:cs="黑体"/>
          <w:i w:val="0"/>
          <w:caps w:val="0"/>
          <w:color w:val="333333"/>
          <w:spacing w:val="0"/>
          <w:sz w:val="28"/>
          <w:szCs w:val="28"/>
          <w:bdr w:val="none" w:color="auto" w:sz="0" w:space="0"/>
          <w:shd w:val="clear" w:fill="FFFFFF"/>
        </w:rPr>
        <w:t>二、申请和推荐流程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1.</w:t>
      </w:r>
      <w:r>
        <w:rPr>
          <w:rFonts w:hint="eastAsia" w:ascii="仿宋_GB2312" w:hAnsi="仿宋_GB2312" w:eastAsia="仿宋_GB2312" w:cs="仿宋_GB2312"/>
          <w:i w:val="0"/>
          <w:caps w:val="0"/>
          <w:color w:val="333333"/>
          <w:spacing w:val="0"/>
          <w:sz w:val="28"/>
          <w:szCs w:val="28"/>
          <w:bdr w:val="none" w:color="auto" w:sz="0" w:space="0"/>
          <w:shd w:val="clear" w:fill="FFFFFF"/>
        </w:rPr>
        <w:t>申请人查询接受学校导师课题信息和学费住宿费信息，确定志愿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在高等学校师资培训交流武汉中心（以下简称“武汉中心”）主页（</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http://www.train.whu.edu.cn/</w:t>
      </w:r>
      <w:r>
        <w:rPr>
          <w:rFonts w:hint="eastAsia" w:ascii="仿宋_GB2312" w:hAnsi="仿宋_GB2312" w:eastAsia="仿宋_GB2312" w:cs="仿宋_GB2312"/>
          <w:i w:val="0"/>
          <w:caps w:val="0"/>
          <w:color w:val="333333"/>
          <w:spacing w:val="0"/>
          <w:sz w:val="28"/>
          <w:szCs w:val="28"/>
          <w:bdr w:val="none" w:color="auto" w:sz="0" w:space="0"/>
          <w:shd w:val="clear" w:fill="FFFFFF"/>
        </w:rPr>
        <w:t>），点击进入“访问学者导师查询”栏目，选择“中西部青年骨干教师访学项目”，并选择学校和学科，查询导师课题信息（查询时间</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年</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4</w:t>
      </w:r>
      <w:r>
        <w:rPr>
          <w:rFonts w:hint="eastAsia" w:ascii="仿宋_GB2312" w:hAnsi="仿宋_GB2312" w:eastAsia="仿宋_GB2312" w:cs="仿宋_GB2312"/>
          <w:i w:val="0"/>
          <w:caps w:val="0"/>
          <w:color w:val="333333"/>
          <w:spacing w:val="0"/>
          <w:sz w:val="28"/>
          <w:szCs w:val="28"/>
          <w:bdr w:val="none" w:color="auto" w:sz="0" w:space="0"/>
          <w:shd w:val="clear" w:fill="FFFFFF"/>
        </w:rPr>
        <w:t>月</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1</w:t>
      </w:r>
      <w:r>
        <w:rPr>
          <w:rFonts w:hint="eastAsia" w:ascii="仿宋_GB2312" w:hAnsi="仿宋_GB2312" w:eastAsia="仿宋_GB2312" w:cs="仿宋_GB2312"/>
          <w:i w:val="0"/>
          <w:caps w:val="0"/>
          <w:color w:val="333333"/>
          <w:spacing w:val="0"/>
          <w:sz w:val="28"/>
          <w:szCs w:val="28"/>
          <w:bdr w:val="none" w:color="auto" w:sz="0" w:space="0"/>
          <w:shd w:val="clear" w:fill="FFFFFF"/>
        </w:rPr>
        <w:t>日—</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4</w:t>
      </w:r>
      <w:r>
        <w:rPr>
          <w:rFonts w:hint="eastAsia" w:ascii="仿宋_GB2312" w:hAnsi="仿宋_GB2312" w:eastAsia="仿宋_GB2312" w:cs="仿宋_GB2312"/>
          <w:i w:val="0"/>
          <w:caps w:val="0"/>
          <w:color w:val="333333"/>
          <w:spacing w:val="0"/>
          <w:sz w:val="28"/>
          <w:szCs w:val="28"/>
          <w:bdr w:val="none" w:color="auto" w:sz="0" w:space="0"/>
          <w:shd w:val="clear" w:fill="FFFFFF"/>
        </w:rPr>
        <w:t>月</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w:t>
      </w:r>
      <w:r>
        <w:rPr>
          <w:rFonts w:hint="eastAsia" w:ascii="仿宋_GB2312" w:hAnsi="仿宋_GB2312" w:eastAsia="仿宋_GB2312" w:cs="仿宋_GB2312"/>
          <w:i w:val="0"/>
          <w:caps w:val="0"/>
          <w:color w:val="333333"/>
          <w:spacing w:val="0"/>
          <w:sz w:val="28"/>
          <w:szCs w:val="28"/>
          <w:bdr w:val="none" w:color="auto" w:sz="0" w:space="0"/>
          <w:shd w:val="clear" w:fill="FFFFFF"/>
        </w:rPr>
        <w:t>日）。申请作为中西部高校青年骨干教师国内访问学者，必须选择骨干访学项目导师，导师名字后带 “</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w:t>
      </w:r>
      <w:r>
        <w:rPr>
          <w:rFonts w:hint="eastAsia" w:ascii="仿宋_GB2312" w:hAnsi="仿宋_GB2312" w:eastAsia="仿宋_GB2312" w:cs="仿宋_GB2312"/>
          <w:i w:val="0"/>
          <w:caps w:val="0"/>
          <w:color w:val="333333"/>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在武汉中心主页点击进入“资料下载”栏目，下载《</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年全国高等学校接受国内访问学者培养费标准和住宿情况一览表》了解学费住宿费信息。此收费标准仅供参考，具体费用、是否安排住宿等事宜以各高校的录取通知书为准。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各接受高校的访问学者项目管理部门和联系方式等信息，请在“资料下载”栏目下载《</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年全国高等学校接受国内访问学者工作通讯录》查看。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2.</w:t>
      </w:r>
      <w:r>
        <w:rPr>
          <w:rFonts w:hint="eastAsia" w:ascii="仿宋_GB2312" w:hAnsi="仿宋_GB2312" w:eastAsia="仿宋_GB2312" w:cs="仿宋_GB2312"/>
          <w:i w:val="0"/>
          <w:caps w:val="0"/>
          <w:color w:val="333333"/>
          <w:spacing w:val="0"/>
          <w:sz w:val="28"/>
          <w:szCs w:val="28"/>
          <w:bdr w:val="none" w:color="auto" w:sz="0" w:space="0"/>
          <w:shd w:val="clear" w:fill="FFFFFF"/>
        </w:rPr>
        <w:t>申请人完成《中西部高等学校青年骨干教师国内访问学者推荐表》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在武汉中心主页（</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http://www.train.whu.edu.cn/</w:t>
      </w:r>
      <w:r>
        <w:rPr>
          <w:rFonts w:hint="eastAsia" w:ascii="仿宋_GB2312" w:hAnsi="仿宋_GB2312" w:eastAsia="仿宋_GB2312" w:cs="仿宋_GB2312"/>
          <w:i w:val="0"/>
          <w:caps w:val="0"/>
          <w:color w:val="333333"/>
          <w:spacing w:val="0"/>
          <w:sz w:val="28"/>
          <w:szCs w:val="28"/>
          <w:bdr w:val="none" w:color="auto" w:sz="0" w:space="0"/>
          <w:shd w:val="clear" w:fill="FFFFFF"/>
        </w:rPr>
        <w:t>），点击进入“资料下载”栏目，下载《中西部高等学校青年骨干教师国内访问学者推荐表》（</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），填写完成电子版一份（</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word</w:t>
      </w:r>
      <w:r>
        <w:rPr>
          <w:rFonts w:hint="eastAsia" w:ascii="仿宋_GB2312" w:hAnsi="仿宋_GB2312" w:eastAsia="仿宋_GB2312" w:cs="仿宋_GB2312"/>
          <w:i w:val="0"/>
          <w:caps w:val="0"/>
          <w:color w:val="333333"/>
          <w:spacing w:val="0"/>
          <w:sz w:val="28"/>
          <w:szCs w:val="28"/>
          <w:bdr w:val="none" w:color="auto" w:sz="0" w:space="0"/>
          <w:shd w:val="clear" w:fill="FFFFFF"/>
        </w:rPr>
        <w:t>文件）和纸质版三份。请务必确保纸质版与电子版的志愿信息完全一致。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3.</w:t>
      </w:r>
      <w:r>
        <w:rPr>
          <w:rFonts w:hint="eastAsia" w:ascii="仿宋_GB2312" w:hAnsi="仿宋_GB2312" w:eastAsia="仿宋_GB2312" w:cs="仿宋_GB2312"/>
          <w:i w:val="0"/>
          <w:caps w:val="0"/>
          <w:color w:val="333333"/>
          <w:spacing w:val="0"/>
          <w:sz w:val="28"/>
          <w:szCs w:val="28"/>
          <w:bdr w:val="none" w:color="auto" w:sz="0" w:space="0"/>
          <w:shd w:val="clear" w:fill="FFFFFF"/>
        </w:rPr>
        <w:t>选派学校审核《中西部高等学校青年骨干教师国内访问学者推荐表》（以下简称《推荐表》）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选派学校审核申请人信息是否属实，纸质版表格交相关专业教授或相当专业技术职务专家、学院</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w:t>
      </w:r>
      <w:r>
        <w:rPr>
          <w:rFonts w:hint="eastAsia" w:ascii="仿宋_GB2312" w:hAnsi="仿宋_GB2312" w:eastAsia="仿宋_GB2312" w:cs="仿宋_GB2312"/>
          <w:i w:val="0"/>
          <w:caps w:val="0"/>
          <w:color w:val="333333"/>
          <w:spacing w:val="0"/>
          <w:sz w:val="28"/>
          <w:szCs w:val="28"/>
          <w:bdr w:val="none" w:color="auto" w:sz="0" w:space="0"/>
          <w:shd w:val="clear" w:fill="FFFFFF"/>
        </w:rPr>
        <w:t>系、选派学校师资管理部门填写意见，并加盖公章。电子版表格须填写相同的推荐意见。《推荐表》电子版和纸质版（三份）由选派学校报送省级教育行政部门。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4.</w:t>
      </w:r>
      <w:r>
        <w:rPr>
          <w:rFonts w:hint="eastAsia" w:ascii="仿宋_GB2312" w:hAnsi="仿宋_GB2312" w:eastAsia="仿宋_GB2312" w:cs="仿宋_GB2312"/>
          <w:i w:val="0"/>
          <w:caps w:val="0"/>
          <w:color w:val="333333"/>
          <w:spacing w:val="0"/>
          <w:sz w:val="28"/>
          <w:szCs w:val="28"/>
          <w:bdr w:val="none" w:color="auto" w:sz="0" w:space="0"/>
          <w:shd w:val="clear" w:fill="FFFFFF"/>
        </w:rPr>
        <w:t>省级教育行政部门审核、推荐访问学者人选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省级教育行政部门审核《推荐表》，在纸质版加盖公章。并汇总填写《中西部高等学校青年骨干教师国内访问学者推荐人选一览表》（以下简称《一览表》），于</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年</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4</w:t>
      </w:r>
      <w:r>
        <w:rPr>
          <w:rFonts w:hint="eastAsia" w:ascii="仿宋_GB2312" w:hAnsi="仿宋_GB2312" w:eastAsia="仿宋_GB2312" w:cs="仿宋_GB2312"/>
          <w:i w:val="0"/>
          <w:caps w:val="0"/>
          <w:color w:val="333333"/>
          <w:spacing w:val="0"/>
          <w:sz w:val="28"/>
          <w:szCs w:val="28"/>
          <w:bdr w:val="none" w:color="auto" w:sz="0" w:space="0"/>
          <w:shd w:val="clear" w:fill="FFFFFF"/>
        </w:rPr>
        <w:t>月</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30</w:t>
      </w:r>
      <w:r>
        <w:rPr>
          <w:rFonts w:hint="eastAsia" w:ascii="仿宋_GB2312" w:hAnsi="仿宋_GB2312" w:eastAsia="仿宋_GB2312" w:cs="仿宋_GB2312"/>
          <w:i w:val="0"/>
          <w:caps w:val="0"/>
          <w:color w:val="333333"/>
          <w:spacing w:val="0"/>
          <w:sz w:val="28"/>
          <w:szCs w:val="28"/>
          <w:bdr w:val="none" w:color="auto" w:sz="0" w:space="0"/>
          <w:shd w:val="clear" w:fill="FFFFFF"/>
        </w:rPr>
        <w:t>日前将本省（区、市）《一览表》（电子版</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Excel</w:t>
      </w:r>
      <w:r>
        <w:rPr>
          <w:rFonts w:hint="eastAsia" w:ascii="仿宋_GB2312" w:hAnsi="仿宋_GB2312" w:eastAsia="仿宋_GB2312" w:cs="仿宋_GB2312"/>
          <w:i w:val="0"/>
          <w:caps w:val="0"/>
          <w:color w:val="333333"/>
          <w:spacing w:val="0"/>
          <w:sz w:val="28"/>
          <w:szCs w:val="28"/>
          <w:bdr w:val="none" w:color="auto" w:sz="0" w:space="0"/>
          <w:shd w:val="clear" w:fill="FFFFFF"/>
        </w:rPr>
        <w:t>文件</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1</w:t>
      </w:r>
      <w:r>
        <w:rPr>
          <w:rFonts w:hint="eastAsia" w:ascii="仿宋_GB2312" w:hAnsi="仿宋_GB2312" w:eastAsia="仿宋_GB2312" w:cs="仿宋_GB2312"/>
          <w:i w:val="0"/>
          <w:caps w:val="0"/>
          <w:color w:val="333333"/>
          <w:spacing w:val="0"/>
          <w:sz w:val="28"/>
          <w:szCs w:val="28"/>
          <w:bdr w:val="none" w:color="auto" w:sz="0" w:space="0"/>
          <w:shd w:val="clear" w:fill="FFFFFF"/>
        </w:rPr>
        <w:t>份、纸质版</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1</w:t>
      </w:r>
      <w:r>
        <w:rPr>
          <w:rFonts w:hint="eastAsia" w:ascii="仿宋_GB2312" w:hAnsi="仿宋_GB2312" w:eastAsia="仿宋_GB2312" w:cs="仿宋_GB2312"/>
          <w:i w:val="0"/>
          <w:caps w:val="0"/>
          <w:color w:val="333333"/>
          <w:spacing w:val="0"/>
          <w:sz w:val="28"/>
          <w:szCs w:val="28"/>
          <w:bdr w:val="none" w:color="auto" w:sz="0" w:space="0"/>
          <w:shd w:val="clear" w:fill="FFFFFF"/>
        </w:rPr>
        <w:t>份）和《推荐表》（电子版</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word</w:t>
      </w:r>
      <w:r>
        <w:rPr>
          <w:rFonts w:hint="eastAsia" w:ascii="仿宋_GB2312" w:hAnsi="仿宋_GB2312" w:eastAsia="仿宋_GB2312" w:cs="仿宋_GB2312"/>
          <w:i w:val="0"/>
          <w:caps w:val="0"/>
          <w:color w:val="333333"/>
          <w:spacing w:val="0"/>
          <w:sz w:val="28"/>
          <w:szCs w:val="28"/>
          <w:bdr w:val="none" w:color="auto" w:sz="0" w:space="0"/>
          <w:shd w:val="clear" w:fill="FFFFFF"/>
        </w:rPr>
        <w:t>文件</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1</w:t>
      </w:r>
      <w:r>
        <w:rPr>
          <w:rFonts w:hint="eastAsia" w:ascii="仿宋_GB2312" w:hAnsi="仿宋_GB2312" w:eastAsia="仿宋_GB2312" w:cs="仿宋_GB2312"/>
          <w:i w:val="0"/>
          <w:caps w:val="0"/>
          <w:color w:val="333333"/>
          <w:spacing w:val="0"/>
          <w:sz w:val="28"/>
          <w:szCs w:val="28"/>
          <w:bdr w:val="none" w:color="auto" w:sz="0" w:space="0"/>
          <w:shd w:val="clear" w:fill="FFFFFF"/>
        </w:rPr>
        <w:t>份、纸质版</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w:t>
      </w:r>
      <w:r>
        <w:rPr>
          <w:rFonts w:hint="eastAsia" w:ascii="仿宋_GB2312" w:hAnsi="仿宋_GB2312" w:eastAsia="仿宋_GB2312" w:cs="仿宋_GB2312"/>
          <w:i w:val="0"/>
          <w:caps w:val="0"/>
          <w:color w:val="333333"/>
          <w:spacing w:val="0"/>
          <w:sz w:val="28"/>
          <w:szCs w:val="28"/>
          <w:bdr w:val="none" w:color="auto" w:sz="0" w:space="0"/>
          <w:shd w:val="clear" w:fill="FFFFFF"/>
        </w:rPr>
        <w:t>份）报送武汉中心。省级教育行政部门留《推荐表》纸质版一份存档。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5.</w:t>
      </w:r>
      <w:r>
        <w:rPr>
          <w:rFonts w:hint="eastAsia" w:ascii="仿宋_GB2312" w:hAnsi="仿宋_GB2312" w:eastAsia="仿宋_GB2312" w:cs="仿宋_GB2312"/>
          <w:i w:val="0"/>
          <w:caps w:val="0"/>
          <w:color w:val="333333"/>
          <w:spacing w:val="0"/>
          <w:sz w:val="28"/>
          <w:szCs w:val="28"/>
          <w:bdr w:val="none" w:color="auto" w:sz="0" w:space="0"/>
          <w:shd w:val="clear" w:fill="FFFFFF"/>
        </w:rPr>
        <w:t>武汉中心审核《推荐表》。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武汉中心按照教育部文件审核申请人资格。符合文件规定的，将其《推荐表》按志愿向各接受高校投递。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6.</w:t>
      </w:r>
      <w:r>
        <w:rPr>
          <w:rFonts w:hint="eastAsia" w:ascii="仿宋_GB2312" w:hAnsi="仿宋_GB2312" w:eastAsia="仿宋_GB2312" w:cs="仿宋_GB2312"/>
          <w:i w:val="0"/>
          <w:caps w:val="0"/>
          <w:color w:val="333333"/>
          <w:spacing w:val="0"/>
          <w:sz w:val="28"/>
          <w:szCs w:val="28"/>
          <w:bdr w:val="none" w:color="auto" w:sz="0" w:space="0"/>
          <w:shd w:val="clear" w:fill="FFFFFF"/>
        </w:rPr>
        <w:t>接受学校录取访问学者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接受学校将《推荐表》递交相关访学导师审核。如果确定录取，接受学校将录取情况以《录取登记表》的形式报送武汉中心。同时，接受学校直接向申请者发放录取通知书。如果没有录取，接受学校将未录取材料返回武汉中心。武汉中心将按第二、第三志愿顺序依次向各接受高校投递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黑体" w:hAnsi="宋体" w:eastAsia="黑体" w:cs="黑体"/>
          <w:i w:val="0"/>
          <w:caps w:val="0"/>
          <w:color w:val="333333"/>
          <w:spacing w:val="0"/>
          <w:sz w:val="28"/>
          <w:szCs w:val="28"/>
          <w:bdr w:val="none" w:color="auto" w:sz="0" w:space="0"/>
          <w:shd w:val="clear" w:fill="FFFFFF"/>
        </w:rPr>
        <w:t>三、申请注意事项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1.</w:t>
      </w:r>
      <w:r>
        <w:rPr>
          <w:rFonts w:hint="eastAsia" w:ascii="仿宋_GB2312" w:hAnsi="仿宋_GB2312" w:eastAsia="仿宋_GB2312" w:cs="仿宋_GB2312"/>
          <w:i w:val="0"/>
          <w:caps w:val="0"/>
          <w:color w:val="333333"/>
          <w:spacing w:val="0"/>
          <w:sz w:val="28"/>
          <w:szCs w:val="28"/>
          <w:bdr w:val="none" w:color="auto" w:sz="0" w:space="0"/>
          <w:shd w:val="clear" w:fill="FFFFFF"/>
        </w:rPr>
        <w:t>申请人可在武汉中心网站主页“访问学者导师信息”数据库中查询接受学校、专业、导师及其课题目录，可从下拉框中选择学校和专业。申请作为中西部高校青年骨干教师国内访问学者，必须选择骨干访学项目导师，导师名字后带 “</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w:t>
      </w:r>
      <w:r>
        <w:rPr>
          <w:rFonts w:hint="eastAsia" w:ascii="仿宋_GB2312" w:hAnsi="仿宋_GB2312" w:eastAsia="仿宋_GB2312" w:cs="仿宋_GB2312"/>
          <w:i w:val="0"/>
          <w:caps w:val="0"/>
          <w:color w:val="333333"/>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2.</w:t>
      </w:r>
      <w:r>
        <w:rPr>
          <w:rFonts w:hint="eastAsia" w:ascii="仿宋_GB2312" w:hAnsi="仿宋_GB2312" w:eastAsia="仿宋_GB2312" w:cs="仿宋_GB2312"/>
          <w:i w:val="0"/>
          <w:caps w:val="0"/>
          <w:color w:val="333333"/>
          <w:spacing w:val="0"/>
          <w:sz w:val="28"/>
          <w:szCs w:val="28"/>
          <w:bdr w:val="none" w:color="auto" w:sz="0" w:space="0"/>
          <w:shd w:val="clear" w:fill="FFFFFF"/>
        </w:rPr>
        <w:t>《推荐表》可填写三个志愿，武汉中心将在申请者第一志愿落选时及时协助调剂至第二或第三志愿。建议访问学者申请者事先与接受学校导师取得联系，以提高录取率。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3.</w:t>
      </w:r>
      <w:r>
        <w:rPr>
          <w:rFonts w:hint="eastAsia" w:ascii="仿宋_GB2312" w:hAnsi="仿宋_GB2312" w:eastAsia="仿宋_GB2312" w:cs="仿宋_GB2312"/>
          <w:i w:val="0"/>
          <w:caps w:val="0"/>
          <w:color w:val="333333"/>
          <w:spacing w:val="0"/>
          <w:sz w:val="28"/>
          <w:szCs w:val="28"/>
          <w:bdr w:val="none" w:color="auto" w:sz="0" w:space="0"/>
          <w:shd w:val="clear" w:fill="FFFFFF"/>
        </w:rPr>
        <w:t>接受学校的收费标准查询请点击《</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年全国高等学校接受国内访问学者培养费标准和住宿情况一览表》。请注意：部分高校因条件有限不能安排住宿，访问学者须自行解决住宿。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4.</w:t>
      </w:r>
      <w:r>
        <w:rPr>
          <w:rFonts w:hint="eastAsia" w:ascii="仿宋_GB2312" w:hAnsi="仿宋_GB2312" w:eastAsia="仿宋_GB2312" w:cs="仿宋_GB2312"/>
          <w:i w:val="0"/>
          <w:caps w:val="0"/>
          <w:color w:val="333333"/>
          <w:spacing w:val="0"/>
          <w:sz w:val="28"/>
          <w:szCs w:val="28"/>
          <w:bdr w:val="none" w:color="auto" w:sz="0" w:space="0"/>
          <w:shd w:val="clear" w:fill="FFFFFF"/>
        </w:rPr>
        <w:t>学校招生简章、入学的具体要求等问题，请访问学者申请者与接受学校管理部门联系咨询。联系方式请查询《</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年全国高等学校接受国内访问学者工作通讯录》。部分高校对申请有特殊要求，例如：在接受学校网站提交电子版申请材料；向接受学校寄送专业作品等等。请申请人务必关注，以免影响录取。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5.</w:t>
      </w:r>
      <w:r>
        <w:rPr>
          <w:rFonts w:hint="eastAsia" w:ascii="微软雅黑" w:hAnsi="微软雅黑" w:eastAsia="微软雅黑" w:cs="微软雅黑"/>
          <w:i w:val="0"/>
          <w:caps w:val="0"/>
          <w:color w:val="333333"/>
          <w:spacing w:val="0"/>
          <w:sz w:val="28"/>
          <w:szCs w:val="28"/>
          <w:bdr w:val="none" w:color="auto" w:sz="0" w:space="0"/>
          <w:shd w:val="clear" w:fill="FFFFFF"/>
        </w:rPr>
        <w:t> </w:t>
      </w:r>
      <w:r>
        <w:rPr>
          <w:rFonts w:hint="eastAsia" w:ascii="仿宋_GB2312" w:hAnsi="仿宋_GB2312" w:eastAsia="仿宋_GB2312" w:cs="仿宋_GB2312"/>
          <w:i w:val="0"/>
          <w:caps w:val="0"/>
          <w:color w:val="333333"/>
          <w:spacing w:val="0"/>
          <w:sz w:val="28"/>
          <w:szCs w:val="28"/>
          <w:bdr w:val="none" w:color="auto" w:sz="0" w:space="0"/>
          <w:shd w:val="clear" w:fill="FFFFFF"/>
        </w:rPr>
        <w:t>一般项目国内访问学者的申请教育部没有名额限制，在“访问学者导师信息”数据库中可以选择骨干项目的导师和一般项目的导师。一般国内访学申请人请直接与接受学校管理部门联系咨询，按对方要求提交材料。一般访学录取注册后由接受学校将名单报武汉中心备案。一般项目国内访问学者不享受教育部经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黑体" w:hAnsi="宋体" w:eastAsia="黑体" w:cs="黑体"/>
          <w:i w:val="0"/>
          <w:caps w:val="0"/>
          <w:color w:val="333333"/>
          <w:spacing w:val="0"/>
          <w:sz w:val="28"/>
          <w:szCs w:val="28"/>
          <w:bdr w:val="none" w:color="auto" w:sz="0" w:space="0"/>
          <w:shd w:val="clear" w:fill="FFFFFF"/>
        </w:rPr>
        <w:t>四、中西部高校青年骨干教师访问学者申请材料的审核和录取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1.</w:t>
      </w:r>
      <w:r>
        <w:rPr>
          <w:rFonts w:hint="eastAsia" w:ascii="仿宋_GB2312" w:hAnsi="仿宋_GB2312" w:eastAsia="仿宋_GB2312" w:cs="仿宋_GB2312"/>
          <w:i w:val="0"/>
          <w:caps w:val="0"/>
          <w:color w:val="333333"/>
          <w:spacing w:val="0"/>
          <w:sz w:val="28"/>
          <w:szCs w:val="28"/>
          <w:bdr w:val="none" w:color="auto" w:sz="0" w:space="0"/>
          <w:shd w:val="clear" w:fill="FFFFFF"/>
        </w:rPr>
        <w:t>武汉中心在收到各省级教育行政部门报送的推荐名单后，将根据访问学者个人条件和需求，审核并确定上网公布推荐名单，公布时间约为五月中旬。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2.</w:t>
      </w:r>
      <w:r>
        <w:rPr>
          <w:rFonts w:hint="eastAsia" w:ascii="仿宋_GB2312" w:hAnsi="仿宋_GB2312" w:eastAsia="仿宋_GB2312" w:cs="仿宋_GB2312"/>
          <w:i w:val="0"/>
          <w:caps w:val="0"/>
          <w:color w:val="333333"/>
          <w:spacing w:val="0"/>
          <w:sz w:val="28"/>
          <w:szCs w:val="28"/>
          <w:bdr w:val="none" w:color="auto" w:sz="0" w:space="0"/>
          <w:shd w:val="clear" w:fill="FFFFFF"/>
        </w:rPr>
        <w:t>武汉中心在收到接受学校报送的录取名单后，将根据接受学科和导师情况审核并确定《录取名单》，公布时间约为六月中旬。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黑体" w:hAnsi="宋体" w:eastAsia="黑体" w:cs="黑体"/>
          <w:i w:val="0"/>
          <w:caps w:val="0"/>
          <w:color w:val="333333"/>
          <w:spacing w:val="0"/>
          <w:sz w:val="28"/>
          <w:szCs w:val="28"/>
          <w:bdr w:val="none" w:color="auto" w:sz="0" w:space="0"/>
          <w:shd w:val="clear" w:fill="FFFFFF"/>
        </w:rPr>
        <w:t>五、中西部高校青年骨干教师访问学者研修要求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1.</w:t>
      </w:r>
      <w:r>
        <w:rPr>
          <w:rFonts w:hint="eastAsia" w:ascii="仿宋_GB2312" w:hAnsi="仿宋_GB2312" w:eastAsia="仿宋_GB2312" w:cs="仿宋_GB2312"/>
          <w:i w:val="0"/>
          <w:caps w:val="0"/>
          <w:color w:val="333333"/>
          <w:spacing w:val="0"/>
          <w:sz w:val="28"/>
          <w:szCs w:val="28"/>
          <w:bdr w:val="none" w:color="auto" w:sz="0" w:space="0"/>
          <w:shd w:val="clear" w:fill="FFFFFF"/>
        </w:rPr>
        <w:t>中西部高校青年骨干教师访问学者访学期限必须为一学年（</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年</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9</w:t>
      </w:r>
      <w:r>
        <w:rPr>
          <w:rFonts w:hint="eastAsia" w:ascii="仿宋_GB2312" w:hAnsi="仿宋_GB2312" w:eastAsia="仿宋_GB2312" w:cs="仿宋_GB2312"/>
          <w:i w:val="0"/>
          <w:caps w:val="0"/>
          <w:color w:val="333333"/>
          <w:spacing w:val="0"/>
          <w:sz w:val="28"/>
          <w:szCs w:val="28"/>
          <w:bdr w:val="none" w:color="auto" w:sz="0" w:space="0"/>
          <w:shd w:val="clear" w:fill="FFFFFF"/>
        </w:rPr>
        <w:t>月—</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2020</w:t>
      </w:r>
      <w:r>
        <w:rPr>
          <w:rFonts w:hint="eastAsia" w:ascii="仿宋_GB2312" w:hAnsi="仿宋_GB2312" w:eastAsia="仿宋_GB2312" w:cs="仿宋_GB2312"/>
          <w:i w:val="0"/>
          <w:caps w:val="0"/>
          <w:color w:val="333333"/>
          <w:spacing w:val="0"/>
          <w:sz w:val="28"/>
          <w:szCs w:val="28"/>
          <w:bdr w:val="none" w:color="auto" w:sz="0" w:space="0"/>
          <w:shd w:val="clear" w:fill="FFFFFF"/>
        </w:rPr>
        <w:t>年</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7</w:t>
      </w:r>
      <w:r>
        <w:rPr>
          <w:rFonts w:hint="eastAsia" w:ascii="仿宋_GB2312" w:hAnsi="仿宋_GB2312" w:eastAsia="仿宋_GB2312" w:cs="仿宋_GB2312"/>
          <w:i w:val="0"/>
          <w:caps w:val="0"/>
          <w:color w:val="333333"/>
          <w:spacing w:val="0"/>
          <w:sz w:val="28"/>
          <w:szCs w:val="28"/>
          <w:bdr w:val="none" w:color="auto" w:sz="0" w:space="0"/>
          <w:shd w:val="clear" w:fill="FFFFFF"/>
        </w:rPr>
        <w:t>月），访问学者工作实行导师负责制，以参加科研为主。入校后，访问学者要在导师指导下制定工作计划，并提交《</w:t>
      </w:r>
      <w:r>
        <w:rPr>
          <w:rFonts w:hint="eastAsia" w:ascii="仿宋_GB2312" w:hAnsi="仿宋_GB2312" w:eastAsia="仿宋_GB2312" w:cs="仿宋_GB2312"/>
          <w:i w:val="0"/>
          <w:caps w:val="0"/>
          <w:color w:val="828282"/>
          <w:spacing w:val="0"/>
          <w:sz w:val="28"/>
          <w:szCs w:val="28"/>
          <w:u w:val="none"/>
          <w:bdr w:val="none" w:color="auto" w:sz="0" w:space="0"/>
          <w:shd w:val="clear" w:fill="FFFFFF"/>
          <w:lang w:val="en-US"/>
        </w:rPr>
        <w:fldChar w:fldCharType="begin"/>
      </w:r>
      <w:r>
        <w:rPr>
          <w:rFonts w:hint="eastAsia" w:ascii="仿宋_GB2312" w:hAnsi="仿宋_GB2312" w:eastAsia="仿宋_GB2312" w:cs="仿宋_GB2312"/>
          <w:i w:val="0"/>
          <w:caps w:val="0"/>
          <w:color w:val="828282"/>
          <w:spacing w:val="0"/>
          <w:sz w:val="28"/>
          <w:szCs w:val="28"/>
          <w:u w:val="none"/>
          <w:bdr w:val="none" w:color="auto" w:sz="0" w:space="0"/>
          <w:shd w:val="clear" w:fill="FFFFFF"/>
          <w:lang w:val="en-US"/>
        </w:rPr>
        <w:instrText xml:space="preserve"> HYPERLINK "http://cce.whu.edu.cn/szpx/upload/20130412/20130412113817453.doc" </w:instrText>
      </w:r>
      <w:r>
        <w:rPr>
          <w:rFonts w:hint="eastAsia" w:ascii="仿宋_GB2312" w:hAnsi="仿宋_GB2312" w:eastAsia="仿宋_GB2312" w:cs="仿宋_GB2312"/>
          <w:i w:val="0"/>
          <w:caps w:val="0"/>
          <w:color w:val="828282"/>
          <w:spacing w:val="0"/>
          <w:sz w:val="28"/>
          <w:szCs w:val="28"/>
          <w:u w:val="none"/>
          <w:bdr w:val="none" w:color="auto" w:sz="0" w:space="0"/>
          <w:shd w:val="clear" w:fill="FFFFFF"/>
          <w:lang w:val="en-US"/>
        </w:rPr>
        <w:fldChar w:fldCharType="separate"/>
      </w:r>
      <w:r>
        <w:rPr>
          <w:rStyle w:val="6"/>
          <w:rFonts w:hint="eastAsia" w:ascii="仿宋_GB2312" w:hAnsi="仿宋_GB2312" w:eastAsia="仿宋_GB2312" w:cs="仿宋_GB2312"/>
          <w:i w:val="0"/>
          <w:caps w:val="0"/>
          <w:color w:val="auto"/>
          <w:spacing w:val="0"/>
          <w:sz w:val="28"/>
          <w:szCs w:val="28"/>
          <w:u w:val="none"/>
          <w:bdr w:val="none" w:color="auto" w:sz="0" w:space="0"/>
          <w:shd w:val="clear" w:fill="FFFFFF"/>
          <w:lang w:val="en-US"/>
        </w:rPr>
        <w:t>研修工作计划表</w:t>
      </w:r>
      <w:r>
        <w:rPr>
          <w:rFonts w:hint="eastAsia" w:ascii="仿宋_GB2312" w:hAnsi="仿宋_GB2312" w:eastAsia="仿宋_GB2312" w:cs="仿宋_GB2312"/>
          <w:i w:val="0"/>
          <w:caps w:val="0"/>
          <w:color w:val="828282"/>
          <w:spacing w:val="0"/>
          <w:sz w:val="28"/>
          <w:szCs w:val="28"/>
          <w:u w:val="none"/>
          <w:bdr w:val="none" w:color="auto" w:sz="0" w:space="0"/>
          <w:shd w:val="clear" w:fill="FFFFFF"/>
          <w:lang w:val="en-US"/>
        </w:rPr>
        <w:fldChar w:fldCharType="end"/>
      </w:r>
      <w:r>
        <w:rPr>
          <w:rFonts w:hint="eastAsia" w:ascii="仿宋_GB2312" w:hAnsi="仿宋_GB2312" w:eastAsia="仿宋_GB2312" w:cs="仿宋_GB2312"/>
          <w:i w:val="0"/>
          <w:caps w:val="0"/>
          <w:color w:val="333333"/>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both"/>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2.</w:t>
      </w:r>
      <w:r>
        <w:rPr>
          <w:rFonts w:hint="eastAsia" w:ascii="仿宋_GB2312" w:hAnsi="仿宋_GB2312" w:eastAsia="仿宋_GB2312" w:cs="仿宋_GB2312"/>
          <w:i w:val="0"/>
          <w:caps w:val="0"/>
          <w:color w:val="333333"/>
          <w:spacing w:val="0"/>
          <w:sz w:val="28"/>
          <w:szCs w:val="28"/>
          <w:bdr w:val="none" w:color="auto" w:sz="0" w:space="0"/>
          <w:shd w:val="clear" w:fill="FFFFFF"/>
        </w:rPr>
        <w:t>访问学者不得随意放弃推荐指标，情节严重者将通报至省级教育行政部门。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left"/>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若有未尽事宜，可与武汉中心联系。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left"/>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联系人：龙淳 易静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left"/>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地</w:t>
      </w:r>
      <w:r>
        <w:rPr>
          <w:rFonts w:hint="eastAsia" w:ascii="微软雅黑" w:hAnsi="微软雅黑" w:eastAsia="微软雅黑" w:cs="微软雅黑"/>
          <w:i w:val="0"/>
          <w:caps w:val="0"/>
          <w:color w:val="333333"/>
          <w:spacing w:val="0"/>
          <w:sz w:val="28"/>
          <w:szCs w:val="28"/>
          <w:bdr w:val="none" w:color="auto" w:sz="0" w:space="0"/>
          <w:shd w:val="clear" w:fill="FFFFFF"/>
        </w:rPr>
        <w:t> </w:t>
      </w:r>
      <w:r>
        <w:rPr>
          <w:rFonts w:hint="eastAsia" w:ascii="仿宋_GB2312" w:hAnsi="仿宋_GB2312" w:eastAsia="仿宋_GB2312" w:cs="仿宋_GB2312"/>
          <w:i w:val="0"/>
          <w:caps w:val="0"/>
          <w:color w:val="333333"/>
          <w:spacing w:val="0"/>
          <w:sz w:val="28"/>
          <w:szCs w:val="28"/>
          <w:bdr w:val="none" w:color="auto" w:sz="0" w:space="0"/>
          <w:shd w:val="clear" w:fill="FFFFFF"/>
        </w:rPr>
        <w:t>址：湖北省武汉市武昌区珞珈山武汉大学校内梅园二路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left"/>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电</w:t>
      </w:r>
      <w:r>
        <w:rPr>
          <w:rFonts w:hint="eastAsia" w:ascii="微软雅黑" w:hAnsi="微软雅黑" w:eastAsia="微软雅黑" w:cs="微软雅黑"/>
          <w:i w:val="0"/>
          <w:caps w:val="0"/>
          <w:color w:val="333333"/>
          <w:spacing w:val="0"/>
          <w:sz w:val="28"/>
          <w:szCs w:val="28"/>
          <w:bdr w:val="none" w:color="auto" w:sz="0" w:space="0"/>
          <w:shd w:val="clear" w:fill="FFFFFF"/>
        </w:rPr>
        <w:t> </w:t>
      </w:r>
      <w:r>
        <w:rPr>
          <w:rFonts w:hint="eastAsia" w:ascii="仿宋_GB2312" w:hAnsi="仿宋_GB2312" w:eastAsia="仿宋_GB2312" w:cs="仿宋_GB2312"/>
          <w:i w:val="0"/>
          <w:caps w:val="0"/>
          <w:color w:val="333333"/>
          <w:spacing w:val="0"/>
          <w:sz w:val="28"/>
          <w:szCs w:val="28"/>
          <w:bdr w:val="none" w:color="auto" w:sz="0" w:space="0"/>
          <w:shd w:val="clear" w:fill="FFFFFF"/>
        </w:rPr>
        <w:t>话：</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027-68752845 </w:t>
      </w:r>
      <w:r>
        <w:rPr>
          <w:rFonts w:hint="eastAsia" w:ascii="微软雅黑" w:hAnsi="微软雅黑" w:eastAsia="微软雅黑" w:cs="微软雅黑"/>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left"/>
        <w:rPr>
          <w:rFonts w:hint="eastAsia" w:ascii="微软雅黑" w:hAnsi="微软雅黑" w:eastAsia="微软雅黑" w:cs="微软雅黑"/>
          <w:i w:val="0"/>
          <w:caps w:val="0"/>
          <w:color w:val="333333"/>
          <w:spacing w:val="0"/>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E-mail:</w:t>
      </w:r>
      <w:r>
        <w:rPr>
          <w:rFonts w:hint="eastAsia" w:ascii="微软雅黑" w:hAnsi="微软雅黑" w:eastAsia="微软雅黑" w:cs="微软雅黑"/>
          <w:i w:val="0"/>
          <w:caps w:val="0"/>
          <w:color w:val="333333"/>
          <w:spacing w:val="0"/>
          <w:sz w:val="28"/>
          <w:szCs w:val="28"/>
          <w:bdr w:val="none" w:color="auto" w:sz="0" w:space="0"/>
          <w:shd w:val="clear" w:fill="FFFFFF"/>
        </w:rPr>
        <w:t> </w:t>
      </w:r>
      <w:r>
        <w:rPr>
          <w:rFonts w:hint="eastAsia" w:ascii="仿宋_GB2312" w:hAnsi="仿宋_GB2312" w:eastAsia="仿宋_GB2312" w:cs="仿宋_GB2312"/>
          <w:i w:val="0"/>
          <w:caps w:val="0"/>
          <w:color w:val="828282"/>
          <w:spacing w:val="0"/>
          <w:sz w:val="28"/>
          <w:szCs w:val="28"/>
          <w:u w:val="none"/>
          <w:bdr w:val="none" w:color="auto" w:sz="0" w:space="0"/>
          <w:shd w:val="clear" w:fill="FFFFFF"/>
          <w:lang w:val="en-US"/>
        </w:rPr>
        <w:fldChar w:fldCharType="begin"/>
      </w:r>
      <w:r>
        <w:rPr>
          <w:rFonts w:hint="eastAsia" w:ascii="仿宋_GB2312" w:hAnsi="仿宋_GB2312" w:eastAsia="仿宋_GB2312" w:cs="仿宋_GB2312"/>
          <w:i w:val="0"/>
          <w:caps w:val="0"/>
          <w:color w:val="828282"/>
          <w:spacing w:val="0"/>
          <w:sz w:val="28"/>
          <w:szCs w:val="28"/>
          <w:u w:val="none"/>
          <w:bdr w:val="none" w:color="auto" w:sz="0" w:space="0"/>
          <w:shd w:val="clear" w:fill="FFFFFF"/>
          <w:lang w:val="en-US"/>
        </w:rPr>
        <w:instrText xml:space="preserve"> HYPERLINK "mailto:gnfwxz@163.com" </w:instrText>
      </w:r>
      <w:r>
        <w:rPr>
          <w:rFonts w:hint="eastAsia" w:ascii="仿宋_GB2312" w:hAnsi="仿宋_GB2312" w:eastAsia="仿宋_GB2312" w:cs="仿宋_GB2312"/>
          <w:i w:val="0"/>
          <w:caps w:val="0"/>
          <w:color w:val="828282"/>
          <w:spacing w:val="0"/>
          <w:sz w:val="28"/>
          <w:szCs w:val="28"/>
          <w:u w:val="none"/>
          <w:bdr w:val="none" w:color="auto" w:sz="0" w:space="0"/>
          <w:shd w:val="clear" w:fill="FFFFFF"/>
          <w:lang w:val="en-US"/>
        </w:rPr>
        <w:fldChar w:fldCharType="separate"/>
      </w:r>
      <w:r>
        <w:rPr>
          <w:rStyle w:val="6"/>
          <w:rFonts w:hint="eastAsia" w:ascii="仿宋_GB2312" w:hAnsi="仿宋_GB2312" w:eastAsia="仿宋_GB2312" w:cs="仿宋_GB2312"/>
          <w:i w:val="0"/>
          <w:caps w:val="0"/>
          <w:color w:val="auto"/>
          <w:spacing w:val="0"/>
          <w:sz w:val="28"/>
          <w:szCs w:val="28"/>
          <w:u w:val="none"/>
          <w:bdr w:val="none" w:color="auto" w:sz="0" w:space="0"/>
          <w:shd w:val="clear" w:fill="FFFFFF"/>
          <w:lang w:val="en-US"/>
        </w:rPr>
        <w:t>gnfwxz@163.com</w:t>
      </w:r>
      <w:r>
        <w:rPr>
          <w:rFonts w:hint="eastAsia" w:ascii="仿宋_GB2312" w:hAnsi="仿宋_GB2312" w:eastAsia="仿宋_GB2312" w:cs="仿宋_GB2312"/>
          <w:i w:val="0"/>
          <w:caps w:val="0"/>
          <w:color w:val="828282"/>
          <w:spacing w:val="0"/>
          <w:sz w:val="28"/>
          <w:szCs w:val="28"/>
          <w:u w:val="none"/>
          <w:bdr w:val="none" w:color="auto" w:sz="0" w:space="0"/>
          <w:shd w:val="clear" w:fill="FFFFFF"/>
          <w:lang w:val="en-US"/>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center"/>
        <w:rPr>
          <w:rFonts w:hint="eastAsia" w:ascii="仿宋_GB2312" w:hAnsi="仿宋_GB2312" w:eastAsia="仿宋_GB2312" w:cs="仿宋_GB2312"/>
          <w:i w:val="0"/>
          <w:caps w:val="0"/>
          <w:color w:val="333333"/>
          <w:spacing w:val="0"/>
          <w:sz w:val="28"/>
          <w:szCs w:val="28"/>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center"/>
        <w:rPr>
          <w:rFonts w:hint="eastAsia" w:ascii="微软雅黑" w:hAnsi="微软雅黑" w:eastAsia="微软雅黑" w:cs="微软雅黑"/>
          <w:i w:val="0"/>
          <w:caps w:val="0"/>
          <w:color w:val="333333"/>
          <w:spacing w:val="0"/>
          <w:sz w:val="21"/>
          <w:szCs w:val="21"/>
        </w:rPr>
      </w:pPr>
      <w:bookmarkStart w:id="0" w:name="_GoBack"/>
      <w:bookmarkEnd w:id="0"/>
      <w:r>
        <w:rPr>
          <w:rFonts w:hint="eastAsia" w:ascii="仿宋_GB2312" w:hAnsi="仿宋_GB2312" w:eastAsia="仿宋_GB2312" w:cs="仿宋_GB2312"/>
          <w:i w:val="0"/>
          <w:caps w:val="0"/>
          <w:color w:val="333333"/>
          <w:spacing w:val="0"/>
          <w:sz w:val="28"/>
          <w:szCs w:val="28"/>
          <w:bdr w:val="none" w:color="auto" w:sz="0" w:space="0"/>
          <w:shd w:val="clear" w:fill="FFFFFF"/>
        </w:rPr>
        <w:t>教育部高等学校师资培训交流武汉中心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left="0" w:right="0" w:firstLine="585"/>
        <w:jc w:val="center"/>
        <w:rPr>
          <w:rFonts w:hint="eastAsia" w:ascii="微软雅黑" w:hAnsi="微软雅黑" w:eastAsia="微软雅黑" w:cs="微软雅黑"/>
          <w:i w:val="0"/>
          <w:caps w:val="0"/>
          <w:color w:val="333333"/>
          <w:spacing w:val="0"/>
          <w:sz w:val="21"/>
          <w:szCs w:val="21"/>
        </w:rPr>
      </w:pPr>
      <w:r>
        <w:rPr>
          <w:rFonts w:hint="eastAsia" w:ascii="仿宋_GB2312" w:hAnsi="仿宋_GB2312" w:eastAsia="仿宋_GB2312" w:cs="仿宋_GB2312"/>
          <w:i w:val="0"/>
          <w:caps w:val="0"/>
          <w:color w:val="333333"/>
          <w:spacing w:val="0"/>
          <w:sz w:val="28"/>
          <w:szCs w:val="28"/>
          <w:bdr w:val="none" w:color="auto" w:sz="0" w:space="0"/>
          <w:shd w:val="clear" w:fill="FFFFFF"/>
          <w:lang w:val="en-US"/>
        </w:rPr>
        <w:t>2019</w:t>
      </w:r>
      <w:r>
        <w:rPr>
          <w:rFonts w:hint="eastAsia" w:ascii="仿宋_GB2312" w:hAnsi="仿宋_GB2312" w:eastAsia="仿宋_GB2312" w:cs="仿宋_GB2312"/>
          <w:i w:val="0"/>
          <w:caps w:val="0"/>
          <w:color w:val="333333"/>
          <w:spacing w:val="0"/>
          <w:sz w:val="28"/>
          <w:szCs w:val="28"/>
          <w:bdr w:val="none" w:color="auto" w:sz="0" w:space="0"/>
          <w:shd w:val="clear" w:fill="FFFFFF"/>
        </w:rPr>
        <w:t>年</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3</w:t>
      </w:r>
      <w:r>
        <w:rPr>
          <w:rFonts w:hint="eastAsia" w:ascii="仿宋_GB2312" w:hAnsi="仿宋_GB2312" w:eastAsia="仿宋_GB2312" w:cs="仿宋_GB2312"/>
          <w:i w:val="0"/>
          <w:caps w:val="0"/>
          <w:color w:val="333333"/>
          <w:spacing w:val="0"/>
          <w:sz w:val="28"/>
          <w:szCs w:val="28"/>
          <w:bdr w:val="none" w:color="auto" w:sz="0" w:space="0"/>
          <w:shd w:val="clear" w:fill="FFFFFF"/>
        </w:rPr>
        <w:t>月</w:t>
      </w:r>
      <w:r>
        <w:rPr>
          <w:rFonts w:hint="eastAsia" w:ascii="仿宋_GB2312" w:hAnsi="仿宋_GB2312" w:eastAsia="仿宋_GB2312" w:cs="仿宋_GB2312"/>
          <w:i w:val="0"/>
          <w:caps w:val="0"/>
          <w:color w:val="333333"/>
          <w:spacing w:val="0"/>
          <w:sz w:val="28"/>
          <w:szCs w:val="28"/>
          <w:bdr w:val="none" w:color="auto" w:sz="0" w:space="0"/>
          <w:shd w:val="clear" w:fill="FFFFFF"/>
          <w:lang w:val="en-US"/>
        </w:rPr>
        <w:t>19</w:t>
      </w:r>
      <w:r>
        <w:rPr>
          <w:rFonts w:hint="eastAsia" w:ascii="仿宋_GB2312" w:hAnsi="仿宋_GB2312" w:eastAsia="仿宋_GB2312" w:cs="仿宋_GB2312"/>
          <w:i w:val="0"/>
          <w:caps w:val="0"/>
          <w:color w:val="333333"/>
          <w:spacing w:val="0"/>
          <w:sz w:val="28"/>
          <w:szCs w:val="28"/>
          <w:bdr w:val="none" w:color="auto" w:sz="0" w:space="0"/>
          <w:shd w:val="clear" w:fill="FFFFFF"/>
        </w:rPr>
        <w:t>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F4A4A"/>
    <w:rsid w:val="0D3E4476"/>
    <w:rsid w:val="28EA1F18"/>
    <w:rsid w:val="538F4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某白</cp:lastModifiedBy>
  <dcterms:modified xsi:type="dcterms:W3CDTF">2019-04-03T01:58:06Z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